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F241" w14:textId="2CDC0D24" w:rsidR="0046287D" w:rsidRDefault="0046287D">
      <w:r>
        <w:t>Master universitario di II livello</w:t>
      </w:r>
    </w:p>
    <w:p w14:paraId="1A2836F7" w14:textId="13D15728" w:rsidR="0046287D" w:rsidRDefault="0046287D"/>
    <w:p w14:paraId="3FCA55A5" w14:textId="1E00CDA5" w:rsidR="0046287D" w:rsidRDefault="0046287D" w:rsidP="0046287D">
      <w:pPr>
        <w:pStyle w:val="Titolo"/>
        <w:rPr>
          <w:i/>
          <w:iCs/>
        </w:rPr>
      </w:pPr>
      <w:r>
        <w:rPr>
          <w:i/>
          <w:iCs/>
        </w:rPr>
        <w:t xml:space="preserve">La visione di genere nella pianificazione e progettazione urbana e territoriale: metodi e tecniche </w:t>
      </w:r>
      <w:bookmarkStart w:id="0" w:name="_Hlk85055105"/>
      <w:bookmarkEnd w:id="0"/>
    </w:p>
    <w:p w14:paraId="1FDDEB5D" w14:textId="48A602E4" w:rsidR="0046287D" w:rsidRDefault="0046287D" w:rsidP="0046287D">
      <w:pPr>
        <w:pStyle w:val="Corpotesto"/>
        <w:rPr>
          <w:lang w:eastAsia="zh-CN" w:bidi="hi-IN"/>
        </w:rPr>
      </w:pPr>
    </w:p>
    <w:p w14:paraId="2EA355DC" w14:textId="2B386E98" w:rsidR="0046287D" w:rsidRPr="0046287D" w:rsidRDefault="0046287D" w:rsidP="0046287D">
      <w:pPr>
        <w:pStyle w:val="Corpotesto"/>
        <w:rPr>
          <w:b/>
          <w:bCs/>
          <w:lang w:eastAsia="zh-CN" w:bidi="hi-IN"/>
        </w:rPr>
      </w:pPr>
      <w:r w:rsidRPr="0046287D">
        <w:rPr>
          <w:b/>
          <w:bCs/>
          <w:lang w:eastAsia="zh-CN" w:bidi="hi-IN"/>
        </w:rPr>
        <w:t xml:space="preserve">Termine iscrizioni: 20 </w:t>
      </w:r>
      <w:r w:rsidR="003C4FED">
        <w:rPr>
          <w:b/>
          <w:bCs/>
          <w:lang w:eastAsia="zh-CN" w:bidi="hi-IN"/>
        </w:rPr>
        <w:t>gennaio</w:t>
      </w:r>
      <w:r w:rsidRPr="0046287D">
        <w:rPr>
          <w:b/>
          <w:bCs/>
          <w:lang w:eastAsia="zh-CN" w:bidi="hi-IN"/>
        </w:rPr>
        <w:t xml:space="preserve"> 2021</w:t>
      </w:r>
    </w:p>
    <w:p w14:paraId="23C9AE1C" w14:textId="53620B1C" w:rsidR="0046287D" w:rsidRPr="0046287D" w:rsidRDefault="0046287D" w:rsidP="0046287D">
      <w:pPr>
        <w:pStyle w:val="Corpotesto"/>
        <w:rPr>
          <w:b/>
          <w:bCs/>
          <w:lang w:eastAsia="zh-CN" w:bidi="hi-IN"/>
        </w:rPr>
      </w:pPr>
      <w:r w:rsidRPr="0046287D">
        <w:rPr>
          <w:b/>
          <w:bCs/>
          <w:lang w:eastAsia="zh-CN" w:bidi="hi-IN"/>
        </w:rPr>
        <w:t xml:space="preserve">Avvio dei corsi: 18 </w:t>
      </w:r>
      <w:r w:rsidR="003C4FED">
        <w:rPr>
          <w:b/>
          <w:bCs/>
          <w:lang w:eastAsia="zh-CN" w:bidi="hi-IN"/>
        </w:rPr>
        <w:t>marzo</w:t>
      </w:r>
      <w:r w:rsidRPr="0046287D">
        <w:rPr>
          <w:b/>
          <w:bCs/>
          <w:lang w:eastAsia="zh-CN" w:bidi="hi-IN"/>
        </w:rPr>
        <w:t xml:space="preserve"> 2022</w:t>
      </w:r>
    </w:p>
    <w:p w14:paraId="0D3A81F1" w14:textId="17DC3FF8" w:rsidR="0046287D" w:rsidRDefault="0046287D" w:rsidP="0046287D"/>
    <w:p w14:paraId="3D08157C" w14:textId="77777777" w:rsidR="0046287D" w:rsidRPr="0046287D" w:rsidRDefault="0046287D" w:rsidP="0046287D">
      <w:pPr>
        <w:rPr>
          <w:b/>
          <w:bCs/>
          <w:u w:val="single"/>
        </w:rPr>
      </w:pPr>
      <w:r w:rsidRPr="0046287D">
        <w:rPr>
          <w:b/>
          <w:bCs/>
          <w:u w:val="single"/>
        </w:rPr>
        <w:t>Link</w:t>
      </w:r>
    </w:p>
    <w:p w14:paraId="7A2D04CB" w14:textId="77777777" w:rsidR="0046287D" w:rsidRDefault="0046287D" w:rsidP="0046287D">
      <w:r w:rsidRPr="0046287D">
        <w:t>https://mastercittadigenere.wordpress.com</w:t>
      </w:r>
    </w:p>
    <w:p w14:paraId="778ED180" w14:textId="6A908AF5" w:rsidR="0046287D" w:rsidRDefault="0046287D" w:rsidP="0046287D"/>
    <w:p w14:paraId="462FB910" w14:textId="0C26FF7E" w:rsidR="00E50577" w:rsidRPr="00E50577" w:rsidRDefault="00E50577" w:rsidP="0046287D">
      <w:pPr>
        <w:rPr>
          <w:b/>
          <w:bCs/>
          <w:u w:val="single"/>
        </w:rPr>
      </w:pPr>
      <w:r w:rsidRPr="00E50577">
        <w:rPr>
          <w:b/>
          <w:bCs/>
          <w:u w:val="single"/>
        </w:rPr>
        <w:t>Info</w:t>
      </w:r>
    </w:p>
    <w:p w14:paraId="2E1F91BE" w14:textId="33ABD635" w:rsidR="00E50577" w:rsidRDefault="00E50577" w:rsidP="0046287D">
      <w:r>
        <w:t>master_pianificazione_genere@dida.unifi.it</w:t>
      </w:r>
    </w:p>
    <w:p w14:paraId="417844C4" w14:textId="77777777" w:rsidR="0046287D" w:rsidRDefault="0046287D" w:rsidP="0046287D"/>
    <w:p w14:paraId="6D0D17F6" w14:textId="6DE62467" w:rsidR="0046287D" w:rsidRDefault="0046287D" w:rsidP="0046287D">
      <w:pPr>
        <w:rPr>
          <w:b/>
          <w:bCs/>
          <w:u w:val="single"/>
        </w:rPr>
      </w:pPr>
      <w:r w:rsidRPr="0046287D">
        <w:rPr>
          <w:b/>
          <w:bCs/>
          <w:u w:val="single"/>
        </w:rPr>
        <w:t>I temi</w:t>
      </w:r>
    </w:p>
    <w:p w14:paraId="310F7336" w14:textId="77777777" w:rsidR="0046287D" w:rsidRPr="0046287D" w:rsidRDefault="0046287D" w:rsidP="0046287D">
      <w:pPr>
        <w:rPr>
          <w:b/>
          <w:bCs/>
          <w:u w:val="single"/>
        </w:rPr>
      </w:pPr>
    </w:p>
    <w:p w14:paraId="31F820A7" w14:textId="5726F965" w:rsidR="0046287D" w:rsidRDefault="0046287D" w:rsidP="0046287D">
      <w:r>
        <w:t xml:space="preserve">Il master prevede un approccio interdisciplinare su base spaziale ai temi del corso affrontati in prospettiva storica con l’obiettivo del definire una genealogia di pratiche e progetti orientate a consolidare una metodologia di genere da applicare nei diversi contesti professionali, della pubblica amministrazione, della pratica professionale della ricerca.  Il corso è organizzato in otto moduli: </w:t>
      </w:r>
    </w:p>
    <w:p w14:paraId="170970B3" w14:textId="77777777" w:rsidR="0046287D" w:rsidRDefault="0046287D" w:rsidP="0046287D">
      <w:pPr>
        <w:spacing w:before="171" w:after="228"/>
      </w:pPr>
      <w:r>
        <w:rPr>
          <w:rFonts w:cs="Calibri"/>
          <w:b/>
          <w:bCs/>
        </w:rPr>
        <w:t>1. Donne, città e territorio: una lunga storia</w:t>
      </w:r>
      <w:r>
        <w:rPr>
          <w:rFonts w:cs="Calibri"/>
        </w:rPr>
        <w:t xml:space="preserve">: è un modulo introduttivo orientato all’illustrazione di come le donne abbiano manipolato lo spazio, creando luoghi propri in tutto il corso della storia. Il modulo prevede lezioni di carattere storico sul pensiero e le pratiche femministe, sugli spazi vissuti delle donne dal punto di vista storico e sul contributo disciplinare di architette ed urbaniste; </w:t>
      </w:r>
    </w:p>
    <w:p w14:paraId="6035482F" w14:textId="77777777" w:rsidR="0046287D" w:rsidRDefault="0046287D" w:rsidP="0046287D">
      <w:pPr>
        <w:spacing w:before="171" w:after="228"/>
      </w:pPr>
      <w:r>
        <w:rPr>
          <w:b/>
          <w:bCs/>
        </w:rPr>
        <w:t>2.</w:t>
      </w:r>
      <w:r>
        <w:t xml:space="preserve"> </w:t>
      </w:r>
      <w:r>
        <w:rPr>
          <w:b/>
          <w:bCs/>
        </w:rPr>
        <w:t xml:space="preserve">La cura come elemento </w:t>
      </w:r>
      <w:proofErr w:type="spellStart"/>
      <w:r>
        <w:rPr>
          <w:b/>
          <w:bCs/>
        </w:rPr>
        <w:t>fondativo</w:t>
      </w:r>
      <w:proofErr w:type="spellEnd"/>
      <w:r>
        <w:rPr>
          <w:b/>
          <w:bCs/>
        </w:rPr>
        <w:t xml:space="preserve"> delle pratiche spaziali</w:t>
      </w:r>
      <w:r>
        <w:t>: è il modulo dedicato alla dimensione della cura intesa sia come approccio conoscitivo e progettuale alle questioni urbane e territoriali, sia come elemento specifico nel quadro della vita quotidiana dove l’esperienza femminile da anni insegna;</w:t>
      </w:r>
    </w:p>
    <w:p w14:paraId="771F2603" w14:textId="77777777" w:rsidR="0046287D" w:rsidRDefault="0046287D" w:rsidP="0046287D">
      <w:pPr>
        <w:spacing w:before="171" w:after="228"/>
      </w:pPr>
      <w:r>
        <w:rPr>
          <w:b/>
          <w:bCs/>
        </w:rPr>
        <w:t>3.</w:t>
      </w:r>
      <w:r>
        <w:t xml:space="preserve"> </w:t>
      </w:r>
      <w:r>
        <w:rPr>
          <w:b/>
          <w:bCs/>
        </w:rPr>
        <w:t>Genere, dimensione spaziale e politiche pubbliche</w:t>
      </w:r>
      <w:r>
        <w:t xml:space="preserve">: è un modulo dedicato alle politiche pubbliche urbane e alla loro dimensione di genere (Bilanci di genere, servizi pubblici, altre politiche urbane); </w:t>
      </w:r>
    </w:p>
    <w:p w14:paraId="0102335C" w14:textId="77777777" w:rsidR="0046287D" w:rsidRDefault="0046287D" w:rsidP="0046287D">
      <w:pPr>
        <w:spacing w:before="171" w:after="228"/>
      </w:pPr>
      <w:r>
        <w:rPr>
          <w:b/>
          <w:bCs/>
        </w:rPr>
        <w:t>4. Cartografe, geografe e urbaniste e descrizione di genere del territorio e dell’ambiente urbano</w:t>
      </w:r>
      <w:r>
        <w:t xml:space="preserve">: il modulo investe la descrizione cartografica del territorio non come operazione neutra, ma di selezione costante degli elementi da tralasciare o da porre in risalto. Il modulo vuole esplorare l’interpretazione cartografica e della rappresentazione del territorio dal punto di vista di genere; </w:t>
      </w:r>
    </w:p>
    <w:p w14:paraId="4C79040C" w14:textId="77777777" w:rsidR="0046287D" w:rsidRDefault="0046287D" w:rsidP="0046287D">
      <w:pPr>
        <w:spacing w:before="171" w:after="228"/>
      </w:pPr>
      <w:r>
        <w:rPr>
          <w:rFonts w:cs="Calibri"/>
          <w:b/>
          <w:bCs/>
        </w:rPr>
        <w:t>5. Genere, politiche e progetti abitativi</w:t>
      </w:r>
      <w:r>
        <w:rPr>
          <w:rFonts w:cs="Calibri"/>
          <w:caps/>
        </w:rPr>
        <w:t xml:space="preserve">: </w:t>
      </w:r>
      <w:r>
        <w:rPr>
          <w:rFonts w:cs="Calibri"/>
        </w:rPr>
        <w:t>è modulo dedicato alla questione dell’accesso alla casa e delle politiche abitative. Verranno presentate buone pratiche di politiche abitative gender sensitive e di “case delle donne” e “centri antiviolenza”;</w:t>
      </w:r>
    </w:p>
    <w:p w14:paraId="599D1FF8" w14:textId="77777777" w:rsidR="0046287D" w:rsidRDefault="0046287D" w:rsidP="0046287D">
      <w:pPr>
        <w:spacing w:before="171" w:after="228"/>
      </w:pPr>
      <w:r>
        <w:rPr>
          <w:rFonts w:cs="Calibri"/>
          <w:b/>
          <w:bCs/>
        </w:rPr>
        <w:lastRenderedPageBreak/>
        <w:t>6. Dalla città delle esclusioni alla città dell’accoglienza e delle differenze</w:t>
      </w:r>
      <w:r>
        <w:rPr>
          <w:rFonts w:cs="Calibri"/>
          <w:caps/>
        </w:rPr>
        <w:t xml:space="preserve">: </w:t>
      </w:r>
      <w:r>
        <w:rPr>
          <w:rFonts w:cs="Calibri"/>
        </w:rPr>
        <w:t xml:space="preserve">il modulo è dedicato in particolare all’approccio alla “Città delle differenze”, un approccio alla pianificazione che mira a mettere in risalto e dare spazio e valore alle diversità degli abitanti; </w:t>
      </w:r>
    </w:p>
    <w:p w14:paraId="7BE049B4" w14:textId="77777777" w:rsidR="0046287D" w:rsidRDefault="0046287D" w:rsidP="0046287D">
      <w:pPr>
        <w:spacing w:before="171" w:after="228"/>
      </w:pPr>
      <w:r>
        <w:rPr>
          <w:rFonts w:cs="Calibri"/>
          <w:b/>
          <w:bCs/>
        </w:rPr>
        <w:t xml:space="preserve">7. Standard e servizi pubblici: la città </w:t>
      </w:r>
      <w:r>
        <w:rPr>
          <w:rFonts w:eastAsia="Courier New" w:cs="Times New Roman"/>
          <w:b/>
          <w:bCs/>
          <w:kern w:val="2"/>
          <w:lang w:eastAsia="ko-KR"/>
        </w:rPr>
        <w:t>abilitante e capacitante</w:t>
      </w:r>
      <w:r>
        <w:rPr>
          <w:rFonts w:cs="Calibri"/>
        </w:rPr>
        <w:t xml:space="preserve">: Il modulo indaga l visione di genere negli strumenti operativi della pianificazione e progettazione urbana e territoriale nel momento della revisione degli Standard urbanistici in Italia; </w:t>
      </w:r>
    </w:p>
    <w:p w14:paraId="66786BB6" w14:textId="77777777" w:rsidR="0046287D" w:rsidRDefault="0046287D" w:rsidP="0046287D">
      <w:pPr>
        <w:spacing w:before="171" w:after="228"/>
      </w:pPr>
      <w:r>
        <w:rPr>
          <w:rFonts w:cs="Calibri"/>
          <w:b/>
          <w:bCs/>
        </w:rPr>
        <w:t>8. Pianificazione e progettazione urbana di genere</w:t>
      </w:r>
      <w:r>
        <w:rPr>
          <w:rFonts w:cs="Calibri"/>
          <w:caps/>
        </w:rPr>
        <w:t>:</w:t>
      </w:r>
      <w:r>
        <w:rPr>
          <w:rFonts w:cs="Calibri"/>
        </w:rPr>
        <w:t xml:space="preserve"> il modulo finale è concepito come un laboratorio in cui mettere alla prova le conoscenze e competenze apprese.</w:t>
      </w:r>
    </w:p>
    <w:p w14:paraId="61096090" w14:textId="38C3B8C2" w:rsidR="0046287D" w:rsidRDefault="0046287D"/>
    <w:p w14:paraId="4793B1A9" w14:textId="290CD9A9" w:rsidR="0046287D" w:rsidRDefault="0046287D">
      <w:pPr>
        <w:rPr>
          <w:b/>
          <w:bCs/>
          <w:u w:val="single"/>
        </w:rPr>
      </w:pPr>
      <w:r w:rsidRPr="0046287D">
        <w:rPr>
          <w:b/>
          <w:bCs/>
          <w:u w:val="single"/>
        </w:rPr>
        <w:t>Il comitato organizzatore</w:t>
      </w:r>
    </w:p>
    <w:p w14:paraId="6D06FB43" w14:textId="77777777" w:rsidR="0046287D" w:rsidRPr="0046287D" w:rsidRDefault="0046287D">
      <w:pPr>
        <w:rPr>
          <w:b/>
          <w:bCs/>
          <w:u w:val="single"/>
        </w:rPr>
      </w:pPr>
    </w:p>
    <w:p w14:paraId="06644FAB" w14:textId="77777777" w:rsidR="0046287D" w:rsidRDefault="0046287D" w:rsidP="0046287D">
      <w:r>
        <w:rPr>
          <w:szCs w:val="20"/>
        </w:rPr>
        <w:t xml:space="preserve">Il master ha sede organizzativa all’università di Firenze, la quale conferisce il titolo agli iscritti. Il master vede la partecipazione in qualità di partner di altre quattro università (Politecnico di Bari, Università di Napoli, Università di Palermo, Università di Trieste) e dell’Istituto IRISS-CNR di Napoli. Il corpo docente è formato da sole donne. Il master è così strutturato: </w:t>
      </w:r>
    </w:p>
    <w:p w14:paraId="5150F48A" w14:textId="77777777" w:rsidR="0046287D" w:rsidRDefault="0046287D" w:rsidP="0046287D">
      <w:pPr>
        <w:spacing w:before="114" w:after="171"/>
      </w:pPr>
      <w:r>
        <w:rPr>
          <w:rFonts w:cs="Calibri"/>
          <w:i/>
          <w:iCs/>
        </w:rPr>
        <w:t>Coordinamento</w:t>
      </w:r>
      <w:r>
        <w:rPr>
          <w:rFonts w:cs="Calibri"/>
        </w:rPr>
        <w:t>: prof.ssa Daniela Poli (Università di Firenze)</w:t>
      </w:r>
    </w:p>
    <w:p w14:paraId="29C22C6C" w14:textId="77777777" w:rsidR="0046287D" w:rsidRDefault="0046287D" w:rsidP="0046287D">
      <w:pPr>
        <w:spacing w:before="114" w:after="171"/>
      </w:pPr>
      <w:r>
        <w:rPr>
          <w:rFonts w:cs="Calibri"/>
          <w:i/>
          <w:iCs/>
        </w:rPr>
        <w:t>Comitato ordinatore</w:t>
      </w:r>
      <w:r>
        <w:rPr>
          <w:rFonts w:cs="Calibri"/>
        </w:rPr>
        <w:t xml:space="preserve">: dott.ssa Chiara </w:t>
      </w:r>
      <w:proofErr w:type="spellStart"/>
      <w:r>
        <w:rPr>
          <w:rFonts w:cs="Calibri"/>
        </w:rPr>
        <w:t>Belingardi</w:t>
      </w:r>
      <w:proofErr w:type="spellEnd"/>
      <w:r>
        <w:rPr>
          <w:rFonts w:cs="Calibri"/>
        </w:rPr>
        <w:t xml:space="preserve"> (Minerva </w:t>
      </w:r>
      <w:proofErr w:type="spellStart"/>
      <w:r>
        <w:rPr>
          <w:rFonts w:cs="Calibri"/>
        </w:rPr>
        <w:t>Research</w:t>
      </w:r>
      <w:proofErr w:type="spellEnd"/>
      <w:r>
        <w:rPr>
          <w:rFonts w:cs="Calibri"/>
        </w:rPr>
        <w:t xml:space="preserve"> Lab - La Sapienza di Roma), prof.ssa Giulia de </w:t>
      </w:r>
      <w:proofErr w:type="spellStart"/>
      <w:r>
        <w:rPr>
          <w:rFonts w:cs="Calibri"/>
        </w:rPr>
        <w:t>Spuches</w:t>
      </w:r>
      <w:proofErr w:type="spellEnd"/>
      <w:r>
        <w:rPr>
          <w:rFonts w:cs="Calibri"/>
        </w:rPr>
        <w:t xml:space="preserve"> (Università di Palermo), dott.ssa Gabriella Esposito (IRISS - CNR di Napoli), prof.ssa Isabella Gagliardi (Università di Firenze), prof.ssa Elena Marchigiani (Università di Trieste), prof.ssa Cristina Mattiucci (Università di Napoli), prof.ssa Camilla Perrone (Università di Firenze), prof.ssa Daniela Poli (Università di Firenze).</w:t>
      </w:r>
    </w:p>
    <w:p w14:paraId="192F005B" w14:textId="77777777" w:rsidR="0046287D" w:rsidRDefault="0046287D" w:rsidP="0046287D">
      <w:pPr>
        <w:spacing w:before="114" w:after="171"/>
      </w:pPr>
      <w:r>
        <w:rPr>
          <w:rFonts w:cs="Calibri"/>
          <w:i/>
          <w:iCs/>
        </w:rPr>
        <w:t>Comitato scientifico</w:t>
      </w:r>
      <w:r>
        <w:rPr>
          <w:rFonts w:cs="Calibri"/>
          <w:i/>
          <w:iCs/>
          <w:szCs w:val="20"/>
        </w:rPr>
        <w:t xml:space="preserve"> internazionale</w:t>
      </w:r>
      <w:r>
        <w:rPr>
          <w:rFonts w:cs="Calibri"/>
          <w:szCs w:val="20"/>
        </w:rPr>
        <w:t xml:space="preserve">: </w:t>
      </w:r>
      <w:r>
        <w:rPr>
          <w:rFonts w:cs="Calibri"/>
        </w:rPr>
        <w:t>Rachele Borghi (</w:t>
      </w:r>
      <w:proofErr w:type="spellStart"/>
      <w:r>
        <w:rPr>
          <w:rStyle w:val="acopre"/>
        </w:rPr>
        <w:t>Université</w:t>
      </w:r>
      <w:proofErr w:type="spellEnd"/>
      <w:r>
        <w:rPr>
          <w:rStyle w:val="acopre"/>
        </w:rPr>
        <w:t xml:space="preserve"> Paris-</w:t>
      </w:r>
      <w:proofErr w:type="spellStart"/>
      <w:r>
        <w:rPr>
          <w:rStyle w:val="Enfasicorsivo"/>
        </w:rPr>
        <w:t>Sorbonne</w:t>
      </w:r>
      <w:proofErr w:type="spellEnd"/>
      <w:r>
        <w:rPr>
          <w:rStyle w:val="acopre"/>
        </w:rPr>
        <w:t xml:space="preserve"> - Paris IV)</w:t>
      </w:r>
      <w:r>
        <w:rPr>
          <w:rFonts w:cs="Calibri"/>
        </w:rPr>
        <w:t xml:space="preserve">, Ines Sanchez De </w:t>
      </w:r>
      <w:proofErr w:type="spellStart"/>
      <w:r>
        <w:rPr>
          <w:rFonts w:cs="Calibri"/>
        </w:rPr>
        <w:t>Madariaga</w:t>
      </w:r>
      <w:proofErr w:type="spellEnd"/>
      <w:r>
        <w:rPr>
          <w:rFonts w:cs="Calibri"/>
        </w:rPr>
        <w:t xml:space="preserve"> (</w:t>
      </w:r>
      <w:proofErr w:type="spellStart"/>
      <w:r>
        <w:fldChar w:fldCharType="begin"/>
      </w:r>
      <w:r>
        <w:instrText xml:space="preserve"> HYPERLINK "https://es.linkedin.com/company/universidad-politecnica-de-madrid?trk=public_profile_topcard-current-company" \t "_self" \h </w:instrText>
      </w:r>
      <w:r>
        <w:fldChar w:fldCharType="separate"/>
      </w:r>
      <w:r>
        <w:rPr>
          <w:rStyle w:val="top-card-linkdescription"/>
        </w:rPr>
        <w:t>Universidad</w:t>
      </w:r>
      <w:proofErr w:type="spellEnd"/>
      <w:r>
        <w:rPr>
          <w:rStyle w:val="top-card-linkdescription"/>
        </w:rPr>
        <w:t xml:space="preserve"> </w:t>
      </w:r>
      <w:proofErr w:type="spellStart"/>
      <w:r>
        <w:rPr>
          <w:rStyle w:val="top-card-linkdescription"/>
        </w:rPr>
        <w:t>Politécnica</w:t>
      </w:r>
      <w:proofErr w:type="spellEnd"/>
      <w:r>
        <w:rPr>
          <w:rStyle w:val="top-card-linkdescription"/>
        </w:rPr>
        <w:t xml:space="preserve"> de Madrid</w:t>
      </w:r>
      <w:r>
        <w:rPr>
          <w:rStyle w:val="top-card-linkdescription"/>
        </w:rPr>
        <w:fldChar w:fldCharType="end"/>
      </w:r>
      <w:r>
        <w:t>)</w:t>
      </w:r>
      <w:r>
        <w:rPr>
          <w:rFonts w:cs="Calibri"/>
        </w:rPr>
        <w:t xml:space="preserve"> Patricia Santos Pedrosa (</w:t>
      </w:r>
      <w:r>
        <w:rPr>
          <w:rStyle w:val="acopre"/>
        </w:rPr>
        <w:t xml:space="preserve">Centre for Gender </w:t>
      </w:r>
      <w:proofErr w:type="spellStart"/>
      <w:r>
        <w:rPr>
          <w:rStyle w:val="acopre"/>
        </w:rPr>
        <w:t>Studies</w:t>
      </w:r>
      <w:proofErr w:type="spellEnd"/>
      <w:r>
        <w:rPr>
          <w:rStyle w:val="acopre"/>
        </w:rPr>
        <w:t xml:space="preserve">, ISCSP of </w:t>
      </w:r>
      <w:proofErr w:type="spellStart"/>
      <w:r>
        <w:rPr>
          <w:rStyle w:val="Enfasicorsivo"/>
        </w:rPr>
        <w:t>Lisbon</w:t>
      </w:r>
      <w:proofErr w:type="spellEnd"/>
      <w:r>
        <w:rPr>
          <w:rStyle w:val="Enfasicorsivo"/>
        </w:rPr>
        <w:t xml:space="preserve"> </w:t>
      </w:r>
      <w:proofErr w:type="spellStart"/>
      <w:r>
        <w:rPr>
          <w:rStyle w:val="Enfasicorsivo"/>
        </w:rPr>
        <w:t>University</w:t>
      </w:r>
      <w:proofErr w:type="spellEnd"/>
      <w:r>
        <w:rPr>
          <w:rFonts w:cs="Calibri"/>
        </w:rPr>
        <w:t xml:space="preserve">), Mary </w:t>
      </w:r>
      <w:proofErr w:type="spellStart"/>
      <w:r>
        <w:rPr>
          <w:rFonts w:cs="Calibri"/>
        </w:rPr>
        <w:t>Pepchinski</w:t>
      </w:r>
      <w:proofErr w:type="spellEnd"/>
      <w:r>
        <w:rPr>
          <w:rFonts w:cs="Calibri"/>
        </w:rPr>
        <w:t xml:space="preserve"> (</w:t>
      </w:r>
      <w:proofErr w:type="spellStart"/>
      <w:r>
        <w:rPr>
          <w:rStyle w:val="acopre"/>
        </w:rPr>
        <w:t>Technische</w:t>
      </w:r>
      <w:proofErr w:type="spellEnd"/>
      <w:r>
        <w:rPr>
          <w:rStyle w:val="acopre"/>
        </w:rPr>
        <w:t xml:space="preserve"> </w:t>
      </w:r>
      <w:proofErr w:type="spellStart"/>
      <w:r>
        <w:rPr>
          <w:rStyle w:val="acopre"/>
        </w:rPr>
        <w:t>Universität</w:t>
      </w:r>
      <w:proofErr w:type="spellEnd"/>
      <w:r>
        <w:rPr>
          <w:rStyle w:val="acopre"/>
        </w:rPr>
        <w:t xml:space="preserve"> Dresden)</w:t>
      </w:r>
      <w:r>
        <w:rPr>
          <w:rFonts w:cs="Calibri"/>
        </w:rPr>
        <w:t xml:space="preserve">, </w:t>
      </w:r>
      <w:proofErr w:type="spellStart"/>
      <w:r>
        <w:rPr>
          <w:rFonts w:cs="Calibri"/>
        </w:rPr>
        <w:t>Béatrice</w:t>
      </w:r>
      <w:proofErr w:type="spellEnd"/>
      <w:r>
        <w:rPr>
          <w:rFonts w:cs="Calibri"/>
        </w:rPr>
        <w:t xml:space="preserve"> </w:t>
      </w:r>
      <w:proofErr w:type="spellStart"/>
      <w:r>
        <w:rPr>
          <w:rFonts w:cs="Calibri"/>
        </w:rPr>
        <w:t>Mariolle</w:t>
      </w:r>
      <w:proofErr w:type="spellEnd"/>
      <w:r>
        <w:rPr>
          <w:rFonts w:cs="Calibri"/>
        </w:rPr>
        <w:t xml:space="preserve"> (</w:t>
      </w:r>
      <w:proofErr w:type="spellStart"/>
      <w:r>
        <w:rPr>
          <w:rFonts w:cs="Calibri"/>
        </w:rPr>
        <w:t>Ecole</w:t>
      </w:r>
      <w:proofErr w:type="spellEnd"/>
      <w:r>
        <w:rPr>
          <w:rFonts w:cs="Calibri"/>
        </w:rPr>
        <w:t xml:space="preserve"> </w:t>
      </w:r>
      <w:proofErr w:type="spellStart"/>
      <w:r>
        <w:rPr>
          <w:rFonts w:cs="Calibri"/>
        </w:rPr>
        <w:t>Nationale</w:t>
      </w:r>
      <w:proofErr w:type="spellEnd"/>
      <w:r>
        <w:rPr>
          <w:rFonts w:cs="Calibri"/>
        </w:rPr>
        <w:t xml:space="preserve"> </w:t>
      </w:r>
      <w:proofErr w:type="spellStart"/>
      <w:r>
        <w:rPr>
          <w:rFonts w:cs="Calibri"/>
        </w:rPr>
        <w:t>Superieure</w:t>
      </w:r>
      <w:proofErr w:type="spellEnd"/>
      <w:r>
        <w:rPr>
          <w:rFonts w:cs="Calibri"/>
        </w:rPr>
        <w:t xml:space="preserve"> Architecture et </w:t>
      </w:r>
      <w:proofErr w:type="spellStart"/>
      <w:r>
        <w:rPr>
          <w:rFonts w:cs="Calibri"/>
        </w:rPr>
        <w:t>Paysage</w:t>
      </w:r>
      <w:proofErr w:type="spellEnd"/>
      <w:r>
        <w:rPr>
          <w:rFonts w:cs="Calibri"/>
        </w:rPr>
        <w:t xml:space="preserve">, Lille), </w:t>
      </w:r>
      <w:proofErr w:type="spellStart"/>
      <w:r>
        <w:rPr>
          <w:rFonts w:cs="Calibri"/>
        </w:rPr>
        <w:t>Zaida</w:t>
      </w:r>
      <w:proofErr w:type="spellEnd"/>
      <w:r>
        <w:rPr>
          <w:rFonts w:cs="Calibri"/>
        </w:rPr>
        <w:t xml:space="preserve"> </w:t>
      </w:r>
      <w:proofErr w:type="spellStart"/>
      <w:r>
        <w:rPr>
          <w:rFonts w:cs="Calibri"/>
        </w:rPr>
        <w:t>Muxì</w:t>
      </w:r>
      <w:proofErr w:type="spellEnd"/>
      <w:r>
        <w:rPr>
          <w:rFonts w:cs="Calibri"/>
        </w:rPr>
        <w:t xml:space="preserve"> Martinez (UPC – </w:t>
      </w:r>
      <w:proofErr w:type="spellStart"/>
      <w:r>
        <w:rPr>
          <w:rFonts w:cs="Calibri"/>
        </w:rPr>
        <w:t>Barcelona</w:t>
      </w:r>
      <w:proofErr w:type="spellEnd"/>
      <w:r>
        <w:rPr>
          <w:rFonts w:cs="Calibri"/>
        </w:rPr>
        <w:t xml:space="preserve">),  Angela </w:t>
      </w:r>
      <w:proofErr w:type="spellStart"/>
      <w:r>
        <w:rPr>
          <w:rFonts w:cs="Calibri"/>
        </w:rPr>
        <w:t>Barbanente</w:t>
      </w:r>
      <w:proofErr w:type="spellEnd"/>
      <w:r>
        <w:rPr>
          <w:rFonts w:cs="Calibri"/>
        </w:rPr>
        <w:t xml:space="preserve"> (Politecnico di Bari), Claudia </w:t>
      </w:r>
      <w:proofErr w:type="spellStart"/>
      <w:r>
        <w:rPr>
          <w:rFonts w:cs="Calibri"/>
        </w:rPr>
        <w:t>Mattogno</w:t>
      </w:r>
      <w:proofErr w:type="spellEnd"/>
      <w:r>
        <w:rPr>
          <w:rFonts w:cs="Calibri"/>
        </w:rPr>
        <w:t xml:space="preserve"> (Minerva </w:t>
      </w:r>
      <w:proofErr w:type="spellStart"/>
      <w:r>
        <w:rPr>
          <w:rFonts w:cs="Calibri"/>
        </w:rPr>
        <w:t>Research</w:t>
      </w:r>
      <w:proofErr w:type="spellEnd"/>
      <w:r>
        <w:rPr>
          <w:rFonts w:cs="Calibri"/>
        </w:rPr>
        <w:t xml:space="preserve"> Lab - La Sapienza di Roma), Marcella Corsi (Minerva </w:t>
      </w:r>
      <w:proofErr w:type="spellStart"/>
      <w:r>
        <w:rPr>
          <w:rFonts w:cs="Calibri"/>
        </w:rPr>
        <w:t>Research</w:t>
      </w:r>
      <w:proofErr w:type="spellEnd"/>
      <w:r>
        <w:rPr>
          <w:rFonts w:cs="Calibri"/>
        </w:rPr>
        <w:t xml:space="preserve"> Lab - La Sapienza di Roma).</w:t>
      </w:r>
    </w:p>
    <w:p w14:paraId="3B2D63B9" w14:textId="77777777" w:rsidR="0046287D" w:rsidRDefault="0046287D" w:rsidP="0046287D">
      <w:pPr>
        <w:spacing w:before="114" w:after="171"/>
      </w:pPr>
      <w:r>
        <w:rPr>
          <w:rFonts w:cs="Calibri"/>
          <w:i/>
          <w:iCs/>
        </w:rPr>
        <w:t>Segreteria tecnico-scientifica</w:t>
      </w:r>
      <w:r>
        <w:rPr>
          <w:rFonts w:cs="Calibri"/>
        </w:rPr>
        <w:t xml:space="preserve">: Chiara </w:t>
      </w:r>
      <w:proofErr w:type="spellStart"/>
      <w:r>
        <w:rPr>
          <w:rFonts w:cs="Calibri"/>
        </w:rPr>
        <w:t>Belingardi</w:t>
      </w:r>
      <w:proofErr w:type="spellEnd"/>
      <w:r>
        <w:rPr>
          <w:rFonts w:cs="Calibri"/>
        </w:rPr>
        <w:t xml:space="preserve"> (Minerva </w:t>
      </w:r>
      <w:proofErr w:type="spellStart"/>
      <w:r>
        <w:rPr>
          <w:rFonts w:cs="Calibri"/>
        </w:rPr>
        <w:t>Research</w:t>
      </w:r>
      <w:proofErr w:type="spellEnd"/>
      <w:r>
        <w:rPr>
          <w:rFonts w:cs="Calibri"/>
        </w:rPr>
        <w:t xml:space="preserve"> Lab - La Sapienza di Roma)</w:t>
      </w:r>
    </w:p>
    <w:p w14:paraId="113DAEB7" w14:textId="3FE2357F" w:rsidR="0046287D" w:rsidRDefault="0046287D"/>
    <w:sectPr w:rsidR="004628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7D"/>
    <w:rsid w:val="003C4FED"/>
    <w:rsid w:val="0046287D"/>
    <w:rsid w:val="00E505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2ADA"/>
  <w15:chartTrackingRefBased/>
  <w15:docId w15:val="{072C9B02-6269-2F4F-A41E-6734D2F1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link w:val="TitoloCarattere"/>
    <w:qFormat/>
    <w:rsid w:val="0046287D"/>
    <w:pPr>
      <w:keepNext/>
      <w:widowControl w:val="0"/>
      <w:suppressAutoHyphens/>
      <w:spacing w:before="240" w:after="120"/>
    </w:pPr>
    <w:rPr>
      <w:rFonts w:ascii="Times New Roman" w:eastAsia="PingFang SC" w:hAnsi="Times New Roman" w:cs="Arial Unicode MS"/>
      <w:b/>
      <w:bCs/>
      <w:kern w:val="2"/>
      <w:sz w:val="26"/>
      <w:szCs w:val="56"/>
      <w:lang w:eastAsia="zh-CN" w:bidi="hi-IN"/>
    </w:rPr>
  </w:style>
  <w:style w:type="character" w:customStyle="1" w:styleId="TitoloCarattere">
    <w:name w:val="Titolo Carattere"/>
    <w:basedOn w:val="Carpredefinitoparagrafo"/>
    <w:link w:val="Titolo"/>
    <w:rsid w:val="0046287D"/>
    <w:rPr>
      <w:rFonts w:ascii="Times New Roman" w:eastAsia="PingFang SC" w:hAnsi="Times New Roman" w:cs="Arial Unicode MS"/>
      <w:b/>
      <w:bCs/>
      <w:kern w:val="2"/>
      <w:sz w:val="26"/>
      <w:szCs w:val="56"/>
      <w:lang w:eastAsia="zh-CN" w:bidi="hi-IN"/>
    </w:rPr>
  </w:style>
  <w:style w:type="paragraph" w:styleId="Corpotesto">
    <w:name w:val="Body Text"/>
    <w:basedOn w:val="Normale"/>
    <w:link w:val="CorpotestoCarattere"/>
    <w:uiPriority w:val="99"/>
    <w:semiHidden/>
    <w:unhideWhenUsed/>
    <w:rsid w:val="0046287D"/>
    <w:pPr>
      <w:spacing w:after="120"/>
    </w:pPr>
  </w:style>
  <w:style w:type="character" w:customStyle="1" w:styleId="CorpotestoCarattere">
    <w:name w:val="Corpo testo Carattere"/>
    <w:basedOn w:val="Carpredefinitoparagrafo"/>
    <w:link w:val="Corpotesto"/>
    <w:uiPriority w:val="99"/>
    <w:semiHidden/>
    <w:rsid w:val="0046287D"/>
  </w:style>
  <w:style w:type="character" w:styleId="Enfasicorsivo">
    <w:name w:val="Emphasis"/>
    <w:basedOn w:val="Carpredefinitoparagrafo"/>
    <w:uiPriority w:val="20"/>
    <w:qFormat/>
    <w:rsid w:val="0046287D"/>
    <w:rPr>
      <w:i/>
      <w:iCs/>
    </w:rPr>
  </w:style>
  <w:style w:type="character" w:customStyle="1" w:styleId="top-card-linkdescription">
    <w:name w:val="top-card-link__description"/>
    <w:basedOn w:val="Carpredefinitoparagrafo"/>
    <w:qFormat/>
    <w:rsid w:val="0046287D"/>
  </w:style>
  <w:style w:type="character" w:customStyle="1" w:styleId="acopre">
    <w:name w:val="acopre"/>
    <w:basedOn w:val="Carpredefinitoparagrafo"/>
    <w:qFormat/>
    <w:rsid w:val="0046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2021-12-07T07:31:00Z</dcterms:created>
  <dcterms:modified xsi:type="dcterms:W3CDTF">2021-12-22T18:04:00Z</dcterms:modified>
</cp:coreProperties>
</file>